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附件</w:t>
      </w:r>
    </w:p>
    <w:p>
      <w:pPr>
        <w:ind w:firstLine="640"/>
      </w:pPr>
    </w:p>
    <w:p>
      <w:pPr>
        <w:ind w:firstLine="88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江苏省第三批66种“1+X”职业技能等级证书考核费用标准</w:t>
      </w:r>
    </w:p>
    <w:p>
      <w:pPr>
        <w:ind w:firstLine="640"/>
      </w:pPr>
    </w:p>
    <w:tbl>
      <w:tblPr>
        <w:tblStyle w:val="16"/>
        <w:tblW w:w="139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4225"/>
        <w:gridCol w:w="5387"/>
        <w:gridCol w:w="1225"/>
        <w:gridCol w:w="1197"/>
        <w:gridCol w:w="10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867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40" w:lineRule="auto"/>
              <w:ind w:firstLine="0" w:firstLineChars="0"/>
              <w:jc w:val="center"/>
              <w:rPr>
                <w:rFonts w:ascii="黑体" w:hAnsi="Calibri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Calibri" w:eastAsia="黑体" w:cs="黑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225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40" w:lineRule="auto"/>
              <w:ind w:firstLine="0" w:firstLineChars="0"/>
              <w:jc w:val="center"/>
              <w:rPr>
                <w:rFonts w:ascii="黑体" w:hAnsi="Calibri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Calibri" w:eastAsia="黑体" w:cs="黑体"/>
                <w:color w:val="000000"/>
                <w:sz w:val="24"/>
                <w:szCs w:val="24"/>
              </w:rPr>
              <w:t>证书名称</w:t>
            </w:r>
          </w:p>
        </w:tc>
        <w:tc>
          <w:tcPr>
            <w:tcW w:w="5387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40" w:lineRule="auto"/>
              <w:ind w:firstLine="0" w:firstLineChars="0"/>
              <w:jc w:val="center"/>
              <w:rPr>
                <w:rFonts w:ascii="黑体" w:hAnsi="Calibri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Calibri" w:eastAsia="黑体" w:cs="黑体"/>
                <w:color w:val="000000"/>
                <w:sz w:val="24"/>
                <w:szCs w:val="24"/>
              </w:rPr>
              <w:t>证书培训评价组织</w:t>
            </w:r>
          </w:p>
        </w:tc>
        <w:tc>
          <w:tcPr>
            <w:tcW w:w="3486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40" w:lineRule="auto"/>
              <w:ind w:firstLine="0" w:firstLineChars="0"/>
              <w:jc w:val="center"/>
              <w:rPr>
                <w:rFonts w:ascii="黑体" w:hAnsi="Calibri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Calibri" w:eastAsia="黑体" w:cs="黑体"/>
                <w:color w:val="000000"/>
                <w:sz w:val="24"/>
                <w:szCs w:val="24"/>
              </w:rPr>
              <w:t>考核费用（元）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67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40" w:lineRule="auto"/>
              <w:ind w:firstLine="0" w:firstLineChars="0"/>
              <w:jc w:val="center"/>
              <w:rPr>
                <w:rFonts w:ascii="黑体" w:hAnsi="Calibri" w:eastAsia="黑体" w:cs="黑体"/>
                <w:color w:val="000000"/>
                <w:sz w:val="24"/>
                <w:szCs w:val="24"/>
              </w:rPr>
            </w:pPr>
          </w:p>
        </w:tc>
        <w:tc>
          <w:tcPr>
            <w:tcW w:w="4225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40" w:lineRule="auto"/>
              <w:ind w:firstLine="0" w:firstLineChars="0"/>
              <w:rPr>
                <w:rFonts w:ascii="黑体" w:hAnsi="Calibri" w:eastAsia="黑体" w:cs="黑体"/>
                <w:color w:val="000000"/>
                <w:sz w:val="24"/>
                <w:szCs w:val="24"/>
              </w:rPr>
            </w:pPr>
          </w:p>
        </w:tc>
        <w:tc>
          <w:tcPr>
            <w:tcW w:w="5387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40" w:lineRule="auto"/>
              <w:ind w:firstLine="0" w:firstLineChars="0"/>
              <w:rPr>
                <w:rFonts w:ascii="黑体" w:hAnsi="Calibri" w:eastAsia="黑体" w:cs="黑体"/>
                <w:color w:val="000000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40" w:lineRule="auto"/>
              <w:ind w:firstLine="0" w:firstLineChars="0"/>
              <w:jc w:val="center"/>
              <w:rPr>
                <w:rFonts w:ascii="黑体" w:hAnsi="Calibri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Calibri" w:eastAsia="黑体" w:cs="黑体"/>
                <w:color w:val="000000"/>
                <w:sz w:val="24"/>
                <w:szCs w:val="24"/>
              </w:rPr>
              <w:t>初级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40" w:lineRule="auto"/>
              <w:ind w:firstLine="0" w:firstLineChars="0"/>
              <w:jc w:val="center"/>
              <w:rPr>
                <w:rFonts w:ascii="黑体" w:hAnsi="Calibri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Calibri" w:eastAsia="黑体" w:cs="黑体"/>
                <w:color w:val="000000"/>
                <w:sz w:val="24"/>
                <w:szCs w:val="24"/>
              </w:rPr>
              <w:t>中级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djustRightInd w:val="0"/>
              <w:spacing w:line="240" w:lineRule="auto"/>
              <w:ind w:firstLine="0" w:firstLineChars="0"/>
              <w:jc w:val="center"/>
              <w:rPr>
                <w:rFonts w:ascii="黑体" w:hAnsi="Calibri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Calibri" w:eastAsia="黑体" w:cs="黑体"/>
                <w:color w:val="000000"/>
                <w:sz w:val="24"/>
                <w:szCs w:val="24"/>
              </w:rPr>
              <w:t>高级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1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djustRightInd w:val="0"/>
              <w:snapToGrid w:val="0"/>
              <w:spacing w:line="36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水环境监测与治理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djustRightInd w:val="0"/>
              <w:snapToGrid w:val="0"/>
              <w:spacing w:line="36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北控水务（中国）投资有限公司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263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290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2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电梯维修保养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杭州西奥电梯有限公司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385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465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3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工业机器人操作与运维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北京新奥时代科技有限责任公司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432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432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4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机器视觉系统应用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深圳市越疆科技有限公司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400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430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5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可编程控制系统集成及应用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浙江瑞亚能源科技有限公司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350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370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6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多轴数控加工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武汉华中数控股份有限公司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660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660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660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7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机械工程制图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北京卓创至诚技术有限公司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351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440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8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机械数字化设计与制造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北京机械工业自动化研究所有限公司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220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240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9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激光加工技术应用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武汉天之逸科技有限公司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380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420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eastAsia="仿宋" w:cs="Times New Roman"/>
                <w:color w:val="000000"/>
                <w:sz w:val="22"/>
                <w:lang w:bidi="ar"/>
              </w:rPr>
              <w:t>10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精密数控加工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北京精雕科技集团有限公司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489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492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498.7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11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数控车铣加工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武汉华中数控股份有限公司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660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660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660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12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数控设备维护与维修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北京机床研究所有限公司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670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670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670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13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冶金机电设备点检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北京诺斐释真管理咨询有限公司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470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520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570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14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增材制造模型设计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北京赛育达科教有限责任公司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650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650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650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15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注塑模具模流分析及工艺调试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海尔智家股份有限公司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420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460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16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路桥工程无损检测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四川升拓检测技术股份有限公司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356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379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17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商用车销售服务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中德诺浩（北京）教育科技股份有限公司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275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方正仿宋简体" w:cs="Times New Roman"/>
                <w:kern w:val="2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275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方正仿宋简体" w:cs="Times New Roman"/>
                <w:kern w:val="2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18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网约车运营管理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北京运华科技发展有限公司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246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246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19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智能网联汽车测试装调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国汽（北京）智能网联汽车研究院有限公司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440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440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20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智能网联汽车检测与运维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中德诺浩（北京）教育科技股份有限公司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275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275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21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轨道交通车辆检修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神州高铁技术股份有限公司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500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550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600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22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特殊焊接技术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中船舰客教育科技（北京）有限公司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560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560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560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23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无人机驾驶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北京优云智翔航空科技有限公司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493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493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24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邮轮内装工艺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中船舰客教育科技（北京）有限公司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500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500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25</w:t>
            </w:r>
          </w:p>
        </w:tc>
        <w:tc>
          <w:tcPr>
            <w:tcW w:w="4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WEB安全测试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北京神州数码云科信息技术有限公司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280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400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26</w:t>
            </w:r>
          </w:p>
        </w:tc>
        <w:tc>
          <w:tcPr>
            <w:tcW w:w="42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光宽带网络建设</w:t>
            </w:r>
          </w:p>
        </w:tc>
        <w:tc>
          <w:tcPr>
            <w:tcW w:w="538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北京华晟经世信息技术股份有限公司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27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网络系统软件应用与维护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北京神州数码云科信息技术有限公司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280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400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28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物联网工程实施与运维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北京新大陆时代教育科技有限公司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280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380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29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下一代互联网（IPV6)搭建与运维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北京神州数码云科信息技术有限公司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280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400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30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Python程序开发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中慧云启科技集团有限公司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31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WPS办公应用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北京金山办公软件股份有限公司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268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288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32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财务共享服务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北京东大正保科技有限公司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260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260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33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金融大数据处理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深圳希施玛数据科技有限公司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199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215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34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金融智能投顾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金智东博（北京）教育科技股份有限公司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251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267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35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供应链运营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北京中物联物流采购培训中心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380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380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36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快递运营管理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国邮创展（北京）人力资源服务有限公司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37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连锁特许经营管理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深圳市逸马科技有限公司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方正仿宋简体" w:cs="Times New Roman"/>
                <w:kern w:val="2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方正仿宋简体" w:cs="Times New Roman"/>
                <w:kern w:val="2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38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门店数字化运营与管理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中联职教（北京）科技有限公司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375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395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39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农产品电商运营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北京博导前程信息技术股份有限公司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280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290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40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1+X品类管理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北京睿学云诚教育咨询有限公司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290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290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41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数字营销技术应用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中教畅享（北京）科技有限公司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270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280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42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物流管理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北京中物联物流采购培训中心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350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380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43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新媒体营销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联创新世纪（北京）品牌管理股份有限公司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430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430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44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直播电商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南京奥派信息产业股份公司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280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290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45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智慧物流装备应用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中科智库物联网技术研究院江苏有限公司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435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435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46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智能仓储大数据分析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北京京东乾石科技有限公司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277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283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47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餐饮管理运行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中国饭店协会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350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350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48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会展管理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网育网（北京）国际教育科技发展中心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49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酒店运营管理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中国饭店协会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350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350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50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产品创意设计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</w:t>
            </w:r>
            <w:bookmarkStart w:id="0" w:name="_GoBack"/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洛</w:t>
            </w:r>
            <w:bookmarkEnd w:id="0"/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凯特文化传播有限公司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51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电脑首饰设计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武汉学苑珠宝科技有限公司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—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52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动画制作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中国动漫集团有限公司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500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53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纺织面料开发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北京锦达科教开发总公司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480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480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54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服装陈列设计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北京锦达科教开发总公司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400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420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55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器乐艺术指导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新华国采教育网络科技有限责任公司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450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480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56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人物化妆造型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北京色彩时代商贸有限公司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435.3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435.3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435.3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57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数字艺术创作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中国动漫集团有限公司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方正仿宋简体" w:cs="Times New Roman"/>
                <w:kern w:val="2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方正仿宋简体" w:cs="Times New Roman"/>
                <w:kern w:val="2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58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数字影视特效制作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杭州时光坐标影视传媒股份有限公司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200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250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黑体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59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数字影像处理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中摄协国际文化传媒（北京）有限公司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299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299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60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文创产品数字化设计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浙江中科视传科技有限公司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61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虚拟现实应用设计与制作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福建省网龙普天教育科技有限公司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62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游戏美术设计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完美世界教育科技（北京）有限公司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420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420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480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63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珠宝玉石鉴定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中宝评（北京）教育科技有限公司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590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590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590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64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老年康体指导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北京中民福祉教育科技有限责任公司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260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280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65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社区治理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北京中民福祉教育科技有限责任公司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260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280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2"/>
                <w:lang w:bidi="ar"/>
              </w:rPr>
              <w:t>66</w:t>
            </w:r>
          </w:p>
        </w:tc>
        <w:tc>
          <w:tcPr>
            <w:tcW w:w="42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失智老年人照护</w:t>
            </w:r>
          </w:p>
        </w:tc>
        <w:tc>
          <w:tcPr>
            <w:tcW w:w="5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北京中民福祉教育科技有限责任公司</w:t>
            </w: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1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  <w:tc>
          <w:tcPr>
            <w:tcW w:w="10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spacing w:line="440" w:lineRule="exact"/>
              <w:ind w:firstLine="0" w:firstLineChars="0"/>
              <w:jc w:val="center"/>
              <w:textAlignment w:val="center"/>
              <w:rPr>
                <w:rFonts w:eastAsia="仿宋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sz w:val="24"/>
                <w:szCs w:val="24"/>
                <w:lang w:bidi="ar"/>
              </w:rPr>
              <w:t>300</w:t>
            </w:r>
          </w:p>
        </w:tc>
      </w:tr>
    </w:tbl>
    <w:p>
      <w:pPr>
        <w:ind w:firstLine="64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588" w:right="2098" w:bottom="1474" w:left="1985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C89"/>
    <w:rsid w:val="001028C8"/>
    <w:rsid w:val="001B2891"/>
    <w:rsid w:val="002D391E"/>
    <w:rsid w:val="003215C7"/>
    <w:rsid w:val="004D2472"/>
    <w:rsid w:val="005A1B5F"/>
    <w:rsid w:val="006B50BB"/>
    <w:rsid w:val="006D4499"/>
    <w:rsid w:val="00707C89"/>
    <w:rsid w:val="007B302F"/>
    <w:rsid w:val="00B223F3"/>
    <w:rsid w:val="00B257DC"/>
    <w:rsid w:val="00CA5035"/>
    <w:rsid w:val="00E84A78"/>
    <w:rsid w:val="0814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78" w:lineRule="exact"/>
      <w:ind w:firstLine="200" w:firstLineChars="200"/>
    </w:pPr>
    <w:rPr>
      <w:rFonts w:eastAsia="仿宋_GB2312" w:asciiTheme="minorHAnsi" w:hAnsiTheme="minorHAnsi" w:cstheme="minorBidi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2">
    <w:name w:val="footer"/>
    <w:basedOn w:val="1"/>
    <w:link w:val="44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13">
    <w:name w:val="header"/>
    <w:basedOn w:val="1"/>
    <w:link w:val="4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ind w:firstLine="200" w:firstLineChars="200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styleId="18">
    <w:name w:val="Strong"/>
    <w:basedOn w:val="17"/>
    <w:qFormat/>
    <w:uiPriority w:val="22"/>
    <w:rPr>
      <w:b/>
      <w:bCs/>
    </w:rPr>
  </w:style>
  <w:style w:type="character" w:styleId="19">
    <w:name w:val="Emphasis"/>
    <w:basedOn w:val="17"/>
    <w:qFormat/>
    <w:uiPriority w:val="20"/>
    <w:rPr>
      <w:i/>
      <w:iCs/>
    </w:rPr>
  </w:style>
  <w:style w:type="character" w:customStyle="1" w:styleId="20">
    <w:name w:val="标题 1 Char"/>
    <w:basedOn w:val="17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1">
    <w:name w:val="标题 2 Char"/>
    <w:basedOn w:val="17"/>
    <w:link w:val="3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2">
    <w:name w:val="标题 3 Char"/>
    <w:basedOn w:val="17"/>
    <w:link w:val="4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3">
    <w:name w:val="标题 4 Char"/>
    <w:basedOn w:val="17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4">
    <w:name w:val="标题 5 Char"/>
    <w:basedOn w:val="17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25">
    <w:name w:val="标题 6 Char"/>
    <w:basedOn w:val="17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26">
    <w:name w:val="标题 7 Char"/>
    <w:basedOn w:val="17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标题 8 Char"/>
    <w:basedOn w:val="17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28">
    <w:name w:val="标题 9 Char"/>
    <w:basedOn w:val="17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标题 Char"/>
    <w:basedOn w:val="17"/>
    <w:link w:val="15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30">
    <w:name w:val="副标题 Char"/>
    <w:basedOn w:val="17"/>
    <w:link w:val="1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1">
    <w:name w:val="No Spacing"/>
    <w:qFormat/>
    <w:uiPriority w:val="1"/>
    <w:pPr>
      <w:spacing w:line="240" w:lineRule="auto"/>
      <w:ind w:firstLine="200" w:firstLineChars="200"/>
    </w:pPr>
    <w:rPr>
      <w:rFonts w:eastAsia="仿宋_GB2312" w:asciiTheme="minorHAnsi" w:hAnsiTheme="minorHAnsi" w:cstheme="minorBidi"/>
      <w:sz w:val="32"/>
      <w:szCs w:val="22"/>
      <w:lang w:val="en-US" w:eastAsia="zh-CN" w:bidi="ar-SA"/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paragraph" w:styleId="33">
    <w:name w:val="Quote"/>
    <w:basedOn w:val="1"/>
    <w:next w:val="1"/>
    <w:link w:val="34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34">
    <w:name w:val="引用 Char"/>
    <w:basedOn w:val="17"/>
    <w:link w:val="33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35">
    <w:name w:val="Intense Quote"/>
    <w:basedOn w:val="1"/>
    <w:next w:val="1"/>
    <w:link w:val="36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36">
    <w:name w:val="明显引用 Char"/>
    <w:basedOn w:val="17"/>
    <w:link w:val="35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37">
    <w:name w:val="Subtle Emphasis"/>
    <w:basedOn w:val="17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8">
    <w:name w:val="Intense Emphasis"/>
    <w:basedOn w:val="17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39">
    <w:name w:val="Subtle Reference"/>
    <w:basedOn w:val="17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40">
    <w:name w:val="Intense Reference"/>
    <w:basedOn w:val="17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41">
    <w:name w:val="Book Title"/>
    <w:basedOn w:val="17"/>
    <w:qFormat/>
    <w:uiPriority w:val="33"/>
    <w:rPr>
      <w:b/>
      <w:bCs/>
      <w:smallCaps/>
      <w:spacing w:val="5"/>
    </w:rPr>
  </w:style>
  <w:style w:type="paragraph" w:customStyle="1" w:styleId="42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43">
    <w:name w:val="页眉 Char"/>
    <w:basedOn w:val="17"/>
    <w:link w:val="13"/>
    <w:uiPriority w:val="99"/>
    <w:rPr>
      <w:sz w:val="18"/>
      <w:szCs w:val="18"/>
    </w:rPr>
  </w:style>
  <w:style w:type="character" w:customStyle="1" w:styleId="44">
    <w:name w:val="页脚 Char"/>
    <w:basedOn w:val="17"/>
    <w:link w:val="1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JSJYT</Company>
  <Pages>4</Pages>
  <Words>1697</Words>
  <Characters>2170</Characters>
  <Lines>18</Lines>
  <Paragraphs>5</Paragraphs>
  <TotalTime>24</TotalTime>
  <ScaleCrop>false</ScaleCrop>
  <LinksUpToDate>false</LinksUpToDate>
  <CharactersWithSpaces>2170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2022-05-17T03:33:00Z</dcterms:created>
  <dc:creator>JSJYT User</dc:creator>
  <cp:lastModifiedBy>折翼青鸟</cp:lastModifiedBy>
  <dcterms:modified xsi:type="dcterms:W3CDTF">2022-08-15T03:10:43Z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266F6C05071647F8BAD3C1629E0840FA</vt:lpwstr>
  </property>
</Properties>
</file>